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NW_26521 (Nordrhein-Westfalen) — Aufgaben der Aufsichtsbehörden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Aufsichtsbehörden nach § 120 der Gemeindeordnung für das Land Nordrhein-Westfalen, § 57 der Kreisordnung für das Land Nordrhein-Westfalen in der Fassung der Bekanntmachung vom 14. Juli 1994 (GV. NRW. 646) in der jeweils geltenden Fassung sowie § 22 des Gesetzes über den Regionalverband Ruhr in der Fassung der Bekanntmachung vom 3. Februar 2004 (GV. NRW. S. 96) in der jeweils geltenden Fassung wachen darüber, dass die Kommunalwahlen und die Wahl der Verbandsversammlung des Regionalverbands Ruhr im Einklang mit den Gesetzen durchgeführt werden. Hierbei sind sie insbesondere zuständig,</w:t>
      </w:r>
    </w:p>
    <w:p>
      <w:r>
        <w:t xml:space="preserve">1. über Beschwerden gegen die Entscheidung des Bürgermeisters wegen Versagung von Wahlscheinen zu entscheiden (§ 9 Absatz 3, § 11 Absatz 4 des Gesetzes),</w:t>
      </w:r>
    </w:p>
    <w:p>
      <w:r>
        <w:t xml:space="preserve">2. über Beschwerden gegen die Entscheidung des Bürgermeisters wegen der Unrichtigkeit oder Unvollständigkeit des Wählerverzeichnisses zu entscheiden (§ 11 Absatz 4 des Gesetzes),</w:t>
      </w:r>
    </w:p>
    <w:p>
      <w:r>
        <w:t xml:space="preserve">3. Beschwerde gegen die Entscheidungen der Wahlausschüsse zu erheben, wenn sie die Vorschriften des Wahlgesetzes oder der Wahlordnung bei der Entscheidung über die Zulassung von Wahlvorschlägen für verletzt halten (§ 18 Absatz 4 des Gesetzes),</w:t>
      </w:r>
    </w:p>
    <w:p>
      <w:r>
        <w:t xml:space="preserve">4. bei der Durchführung von Nachwahlen, Wiederholungswahlen oder einzelnen Neuwahlen mitzuwirken, insbesondere den Tag der Nachwahl (§ 21 Absatz 2 Satz 3 des Gesetzes), den Tag der Wiederholungswahl (§ 42 Absatz 4 Satz 3 des Gesetzes) und den Wahltag bei einzelnen Neuwahlen (§ 14 Absatz 1 Satz 3, § 22 Absatz 2, § 42 Absatz 5 des Gesetzes) festzusetzen,</w:t>
      </w:r>
    </w:p>
    <w:p>
      <w:r>
        <w:t xml:space="preserve">5. Einspruch gegen die Gültigkeit der Wahl (§ 39 Absatz 1 des Gesetzes), gegen den Beschluss der Vertretung über den Verlust eines Sitzes (§ 44 Abs. 1 des Gesetzes) und gegen die Feststellung des Nachfolgers oder des Freibleibens des Sitzes durch den Wahlleiter (§ 45 Absatz 6 des Gesetzes) zu erheben,</w:t>
      </w:r>
    </w:p>
    <w:p>
      <w:r>
        <w:t xml:space="preserve">6. Klage gegen den Beschluss der Vertretung über die Gültigkeit oder Ungültigkeit der Wahl (§ 41 des Gesetzes) und über den Verlust eines Sitzes (§ 44 des Gesetzes) sowie gegen die Entscheidung des Wahlleiters über den Nachfolger oder das Freibleiben des Sitzes (§ 45 Absatz 6 des Gesetzes) zu erheben,</w:t>
      </w:r>
    </w:p>
    <w:p>
      <w:r>
        <w:t xml:space="preserve">7. über die Verteilung der Wahlkosten zu entscheiden, falls sich die für das jeweilige Wahlgebiet zuständigen Gebietskörperschaften nicht auf einen billigen Ausgleich einigen (§ 47 Satz 3 des Gesetzes, § 77),</w:t>
      </w:r>
    </w:p>
    <w:p>
      <w:r>
        <w:t xml:space="preserve">8. einen anderen Termin für die Stichwahl festzusetzen, wenn besondere Umstände es erfordern (§ 46 c Absatz 2 Satz 2 des Gesetzes).</w:t>
      </w:r>
    </w:p>
    <w:p>
      <w:r>
        <w:rPr>
          <w:color w:val="555555"/>
          <w:sz w:val="17"/>
        </w:rPr>
        <w:t xml:space="preserve">Zitiervorschlag: § 5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