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NW_26521 (Nordrhein-Westfalen) — Ausstattung des Wahlvorstandes</w:t>
      </w:r>
    </w:p>
    <w:p>
      <w:r>
        <w:rPr>
          <w:color w:val="555555"/>
          <w:sz w:val="18"/>
        </w:rPr>
        <w:t xml:space="preserve">KWahlO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Bürgermeister übergibt dem Wahlvorsteher eines jeden Stimmbezirks vor Beginn der Wahlhandlung</w:t>
      </w:r>
    </w:p>
    <w:p>
      <w:r>
        <w:t xml:space="preserve">1. das abgeschlossene Wählerverzeichnis,</w:t>
      </w:r>
    </w:p>
    <w:p>
      <w:r>
        <w:t xml:space="preserve">2. das Verzeichnis der eingetragenen Wahlberechtigten, denen nach Abschluß des Wählerverzeichnisses noch Wahlscheine erteilt worden sind,</w:t>
      </w:r>
    </w:p>
    <w:p>
      <w:r>
        <w:t xml:space="preserve">3. amtliche Stimmzettel in genügender Zahl,</w:t>
      </w:r>
    </w:p>
    <w:p>
      <w:r>
        <w:t xml:space="preserve">4. Vordrucke der Wahlniederschrift,</w:t>
      </w:r>
    </w:p>
    <w:p>
      <w:r>
        <w:t xml:space="preserve">5. Vordrucke der Schnellmeldung,</w:t>
      </w:r>
    </w:p>
    <w:p>
      <w:r>
        <w:t xml:space="preserve">6. Abdrucke des Kommunalwahlgesetzes und dieser Wahlordnung, die die Anlagen nicht zu enthalten brauchen,</w:t>
      </w:r>
    </w:p>
    <w:p>
      <w:r>
        <w:t xml:space="preserve">7. Abdruck der Wahlbekanntmachung,</w:t>
      </w:r>
    </w:p>
    <w:p>
      <w:r>
        <w:t xml:space="preserve">8. Verschlußmaterial für die Wahlurne,</w:t>
      </w:r>
    </w:p>
    <w:p>
      <w:r>
        <w:t xml:space="preserve">9. Verpackungs- und Siegelmaterial zum Verpacken der Wahlunterlagen.</w:t>
      </w:r>
    </w:p>
    <w:p>
      <w:r>
        <w:rPr>
          <w:color w:val="555555"/>
          <w:sz w:val="17"/>
        </w:rPr>
        <w:t xml:space="preserve">Zitiervorschlag: § 34 NW_26521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https://recht.nulegal.eu/gesetze/NW_26521/34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