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NW_26521 (Nordrhein-Westfalen) — Wahlbekanntmachung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macht spätestens am sechsten Tage vor der Wahl Beginn und Ende der Wahlzeit sowie die Stimmbezirke und Wahlräume öffentlich bekannt. Dabei weist er darauf hin,</w:t>
      </w:r>
    </w:p>
    <w:p>
      <w:r>
        <w:t xml:space="preserve">1. soweit dies zutrifft, daß Gemeinde- und Kreiswahlen gemeinsam stattfinden und wie sich die Stimmbezirke auf die Wahlbezirke der verbundenen Wahlen verteilen; an Stelle der Aufzählung der Stimmbezirke und Wahlräume kann auf die Angaben in der Wahlbenachrichtigung verwiesen werden,</w:t>
      </w:r>
    </w:p>
    <w:p>
      <w:r>
        <w:t xml:space="preserve">1a. an welchem Ort und zu welcher Zeit die Briefwahlvorstände zusammentreten,</w:t>
      </w:r>
    </w:p>
    <w:p>
      <w:r>
        <w:t xml:space="preserve">2. daß die Stimmzettel amtlich hergestellt und im Wahlraum bereitgehalten werden; bei verbundenen Wahlen, wie sich die Stimmzettel für die verbundenen Wahlen durch Aufdruck und Farbe des Papiers voneinander unterscheiden,</w:t>
      </w:r>
    </w:p>
    <w:p>
      <w:r>
        <w:t xml:space="preserve">3. daß die Wahlbenachrichtigung mitgebracht werden soll und daß der Personalausweis oder Reisepaß mitzubringen ist, damit sich der Wähler auf Verlangen über seine Person ausweisen kann,</w:t>
      </w:r>
    </w:p>
    <w:p>
      <w:r>
        <w:t xml:space="preserve">4. daß der Wähler eine Stimme, bei verbundenen Wahlen jeweils eine Stimme hat, die abgegeben wird, indem durch Ankreuzen oder auf andere Weise kenntlich gemacht wird, welchem Bewerber die Stimme gelten soll, und dass eine Stimmabgabe durch einen Vertreter anstelle des Wählers unzulässig ist,</w:t>
      </w:r>
    </w:p>
    <w:p>
      <w:r>
        <w:t xml:space="preserve">4a. dass ein Wähler, der des Lesens unkundig oder aufgrund einer Behinderung an der Abgabe seiner Stimme gehindert ist, sich zur Stimmabgabe der Hilfe einer anderen Person bedienen kann, die Hilfeleistung auf technische Hilfe bei der Kundgabe einer vom Wähler selbst getroffenen und geäußerten Wahlentscheidung beschränkt und eine Hilfeleistung unzulässig ist, die unter missbräuchlicher Einflussnahme erfolgt, die die selbstbestimmte Willensbildung oder Entscheidung des Wählers ersetzt oder verändert oder wenn ein Interessenskonflikt der Hilfsperson besteht,</w:t>
      </w:r>
    </w:p>
    <w:p>
      <w:r>
        <w:t xml:space="preserve">5. in welcher Weise mit Wahlschein und insbesondere durch Briefwahl gewählt werden kann,</w:t>
      </w:r>
    </w:p>
    <w:p>
      <w:r>
        <w:t xml:space="preserve">6. dass nach § 107a Absatz 1 des Strafgesetzbuches mit Freiheitsstrafe bis zu fünf Jahren oder mit Geldstrafe bestraft wird, wer unbefugt wählt oder sonst ein unrichtiges Ergebnis einer Wahl herbeiführt oder das Ergebnis verfälscht und dass unbefugt auch wählt, wer im Rahmen zulässiger Assistenz entgegen der Wahlentscheidung oder ohne eine geäußerte Wahlentscheidung des Wahlberechtigten eine Stimme abgibt, und dass nach § 107a Absatz 3 des Strafgesetzbuches auch der Versuch strafbar ist.</w:t>
      </w:r>
    </w:p>
    <w:p>
      <w:r>
        <w:t xml:space="preserve">(2) Ein Abdruck der Wahlbekanntmachung ist vor Beginn der Wahlhandlung am Eingang des Gebäudes, in dem sich der Wahlraum befindet, anzubringen. Dem Abdruck ist ein Stimmzettel, bei verbundenen Wahlen je einer für die jeweilige Wahl, als Muster beizufügen. Ist ein im Wahlbezirk vorgeschlagener Bewerber nach der Zulassung des Wahlvorschlages, aber noch vor dem Wahltage gestorben oder hat ein im Wahlbezirk vorgeschlagener Bewerber in diesem Zeitraum seine Wählbarkeit verloren und ist für den Bewerber ein Ersatzbewerber auf der Reserveliste vorgesehen (§ 16 Abs. 2 des Gesetzes), so ist die Wahlbekanntmachung um einen deutlich sichtbaren Hinweis zu ergänzen, welcher Ersatzbewerber für den ausgefallenen Bewerber eingetreten ist. Hat ein im Wahlbezirk vorgeschlagener Bewerber in dem genannten Zeitraum seine Wählbarkeit verloren und ist für ihn ein Ersatzbewerber nicht vorgesehen, so ist die Wahlbekanntmachung um den Hinweis zu ergänzen, daß der Bewerber zwar nicht in die Vertretung berufen werden kann, die auf den Wahlvorschlag entfallenden Stimmen jedoch für die Verteilung der Sitze nach § 33 des Gesetzes berücksichtigt werden.</w:t>
      </w:r>
    </w:p>
    <w:p>
      <w:r>
        <w:t xml:space="preserve">(3) Bei verbundenen Wahlen ist ein Abdruck der Wahlbekanntmachung dem Landrat zu übersenden.</w:t>
      </w:r>
    </w:p>
    <w:p>
      <w:r>
        <w:rPr>
          <w:color w:val="555555"/>
          <w:sz w:val="17"/>
        </w:rPr>
        <w:t xml:space="preserve">Zitiervorschlag: § 33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