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NW_26521 (Nordrhein-Westfalen) — Aufgaben des Wahlleiters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Wahlleiter obliegen insbesondere folgende Aufgaben:</w:t>
      </w:r>
    </w:p>
    <w:p>
      <w:r>
        <w:t xml:space="preserve">1. den Vorsitz im Wahlausschuss zu führen (§ 2 Absatz 3 Satz 1 des Gesetzes),</w:t>
      </w:r>
    </w:p>
    <w:p>
      <w:r>
        <w:t xml:space="preserve">2. bei einem Verzicht auf das Amt des Wahlleiters oder des stellvertretenden Wahlleiters (§ 2 Absatz 2 Satz 4 des Gesetzes) den Verzicht schriftlich der Aufsichtsbehörde anzuzeigen,</w:t>
      </w:r>
    </w:p>
    <w:p>
      <w:r>
        <w:t xml:space="preserve">3. die Einteilung des Wahlgebiets in Wahlbezirke bekanntzugeben (§ 6 des Gesetzes, § 24 Satz 2 Nummer 2); vereinfachte Bekanntmachung genügt,</w:t>
      </w:r>
    </w:p>
    <w:p>
      <w:r>
        <w:t xml:space="preserve">4. die Namen der Mitglieder des Wahlausschusses und ihrer Vertreter bekanntzumachen (§ 6 Absatz 1 Satz 2); vereinfachte Bekanntmachung genügt,</w:t>
      </w:r>
    </w:p>
    <w:p>
      <w:r>
        <w:t xml:space="preserve">5. zur Einreichung von Wahlvorschlägen aufzufordern (§ 24), Wahlvorschläge entgegenzunehmen (§ 15 Absatz 1, § 16 Absatz 3 des Gesetzes) und zur Beseitigung etwaiger Mängel aufzufordern (§ 18 Absatz 1 Satz 2 des Gesetzes, § 27 Absatz 1),</w:t>
      </w:r>
    </w:p>
    <w:p>
      <w:r>
        <w:t xml:space="preserve">6. nach § 15a Absatz 4 des Gesetzes die Erklärungen und Mitteilungen nach § 15a Absatz 2 und 3 des Gesetzes am 16. Tag vor der Wahl sowie etwaige Nachmeldungen am Tag vor dem Wahltermin in geeigneter Weise bekanntzumachen, wobei eine vereinfachte Bekanntmachung genügt,</w:t>
      </w:r>
    </w:p>
    <w:p>
      <w:r>
        <w:t xml:space="preserve">7. nach § 15a Absatz 6 Satz 4 des Gesetzes der Gemeinde oder dem Kreis die eingereichten Erklärungen, Mitteilungen sowie weiteren Unterlagen zur Feststellung der Verpflichtung zur Zahlung des Betrags zur Verfügung zu stellen,</w:t>
      </w:r>
    </w:p>
    <w:p>
      <w:r>
        <w:t xml:space="preserve">8. bei der Vorbereitung und Durchführung der Entscheidungen des Wahlausschusses über die Wahlvorschläge mitzuwirken sowie die zugelassenen Wahlvorschläge öffentlich bekanntzumachen (§ 18 Absatz 3, § 19 Absatz 1 des Gesetzes, §§ 27 bis 30),</w:t>
      </w:r>
    </w:p>
    <w:p>
      <w:r>
        <w:t xml:space="preserve">9. die Nummernfolge der Wahlvorschläge festzusetzen (§§ 32 Absatz 2 und 75c Satz 5 und 6) sowie die Stimmzettel zu beschaffen (§ 79 Absatz 4),</w:t>
      </w:r>
    </w:p>
    <w:p>
      <w:r>
        <w:t xml:space="preserve">10. die Schnellmeldungen zu erstatten (§ 53),</w:t>
      </w:r>
    </w:p>
    <w:p>
      <w:r>
        <w:t xml:space="preserve">11. das Los bei Stimmengleichheit nach § 32 Satz 3 und § 46c Absatz 2 Satz 4 und 6 des Gesetzes oder bei gleichen Zahlenbruchteilen im Verhältnisausgleich nach § 33 Absatz 2 Satz 6 und Absatz 4 Satz 4 des Gesetzes zu ziehen,</w:t>
      </w:r>
    </w:p>
    <w:p>
      <w:r>
        <w:t xml:space="preserve">12. das Wahlergebnis einschließlich der Namen der gewählten Bewerber öffentlich bekanntzugeben (§ 35 Absatz 2 des Gesetzes, § 63),</w:t>
      </w:r>
    </w:p>
    <w:p>
      <w:r>
        <w:t xml:space="preserve">13. die Gewählten von der Wahl zu benachrichtigen (§ 35 Absatz 1 des Gesetzes, § 62),</w:t>
      </w:r>
    </w:p>
    <w:p>
      <w:r>
        <w:t xml:space="preserve">14. erforderlichenfalls die Wahl abzusagen und bekannt zu geben, dass eine Nachwahl stattfinden wird (§ 64 Absatz 2 Satz 1 und Absatz 3 Satz 1),</w:t>
      </w:r>
    </w:p>
    <w:p>
      <w:r>
        <w:t xml:space="preserve">15. die Entscheidung der Vertretung über den Verlust eines Sitzes wegen Wegfalls der Wählbarkeitsvoraussetzungen öffentlich bekanntzugeben (§ 44 Absatz 1 des Gesetzes, § 65),</w:t>
      </w:r>
    </w:p>
    <w:p>
      <w:r>
        <w:t xml:space="preserve">16. den Nachfolger aus der Reserveliste oder das Freibleiben des Sitzes festzustellen und öffentlich bekanntzugeben (§ 45 Absatz 6 des Gesetzes),</w:t>
      </w:r>
    </w:p>
    <w:p>
      <w:r>
        <w:t xml:space="preserve">17. den Verlust des Sitzes auf Grund eines Parteiverbots gemäß Artikel 21 des Grundgesetzes, auf Grund einer Entscheidung nach Artikel 9 Abs. 2 des Grundgesetzes und auf Grund einer Entscheidung nach Artikel 32 Abs. 2 der Landesverfassung festzustellen und öffentlich bekanntzugeben (§ 46 Absatz 4 des Gesetzes),</w:t>
      </w:r>
    </w:p>
    <w:p>
      <w:r>
        <w:t xml:space="preserve">18. die Ordnungswidrigkeiten nach § 24 Absatz 5 des Gesetzes zu ahnden.</w:t>
      </w:r>
    </w:p>
    <w:p>
      <w:r>
        <w:rPr>
          <w:color w:val="555555"/>
          <w:sz w:val="17"/>
        </w:rPr>
        <w:t xml:space="preserve">Zitiervorschlag: § 3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