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NW_26521 (Nordrhein-Westfalen) — Abschluß des Wählerverzeichnisses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Wählerverzeichnis ist spätestens am Tage vor der Wahl, jedoch nicht früher als am dritten Tage vor der Wahl abzuschließen. Der Abschluß wird nach dem Muster der Anlage 4 beurkundet. Bei automatisierter Führung des Wählerverzeichnisses ist vor der Beurkundung ein Ausdruck herzustellen.</w:t>
      </w:r>
    </w:p>
    <w:p>
      <w:r>
        <w:t xml:space="preserve">(2) Änderungen nach § 17 Abs. 1 Satz 1 können auch noch nach dem Abschluss des Wählerverzeichnisses vorgenommen werden.</w:t>
      </w:r>
    </w:p>
    <w:p>
      <w:r>
        <w:rPr>
          <w:color w:val="555555"/>
          <w:sz w:val="17"/>
        </w:rPr>
        <w:t xml:space="preserve">Zitiervorschlag: § 18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