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NW_26521 (Nordrhein-Westfalen) — Einspruch und Beschwerde gegen das Wählerverzeichnis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Einspruch ist schriftlich oder zur Niederschrift bei dem Bürgermeister einzulegen. Soweit die behaupteten Tatsachen nicht offenkundig sind, hat der Einspruchsführer die erforderlichen Beweismittel beizubringen.</w:t>
      </w:r>
    </w:p>
    <w:p>
      <w:r>
        <w:t xml:space="preserve">(2) Will der Bürgermeister einem Einspruch gegen die Eintragung eines anderen stattgeben, so hat er diesem vor der Entscheidung Gelegenheit zur Äußerung zu geben (§ 11 Abs. 2 des Gesetzes).</w:t>
      </w:r>
    </w:p>
    <w:p>
      <w:r>
        <w:t xml:space="preserve">(3) Der Bürgermeister hat seine Entscheidung dem Einspruchsführer und dem Betroffenen spätestens am zehnten Tage vor der Wahl zuzustellen und auf den zulässigen Rechtsbehelf hinzuweisen. Einem auf Eintragung gerichteten Einspruch gibt der Bürgermeister in der Weise statt, daß er dem Wahlberechtigten nach Berichtigung des Wählerverzeichnisses die Wahlbenachrichtigung zugehen läßt.</w:t>
      </w:r>
    </w:p>
    <w:p>
      <w:r>
        <w:t xml:space="preserve">(4) Die Beschwerde gegen die Entscheidung des Bürgermeisters ist bei diesem schriftlich oder zur Niederschrift einzulegen. Der Bürgermeister legt die Beschwerde, sofern er ihr nicht sogleich abhilft, mit den Vorgängen unverzüglich der Aufsichtsbehörde vor. Diese hat über die Beschwerde spätestens am vierten Tage vor der Wahl zu entscheiden; Absatz 2 gilt entsprechend. Die Beschwerdeentscheidung ist den Beteiligten und dem Bürgermeister bekanntzugeben.</w:t>
      </w:r>
    </w:p>
    <w:p>
      <w:r>
        <w:t xml:space="preserve">(5) Ein Wahlberechtigter mit Behinderungen kann sich bei der Einlegung von Einspruch oder Beschwerde der Hilfe einer anderen Person bedienen. § 41 dieser Verordnung gilt entsprechend.</w:t>
      </w:r>
    </w:p>
    <w:p>
      <w:r>
        <w:rPr>
          <w:color w:val="555555"/>
          <w:sz w:val="17"/>
        </w:rPr>
        <w:t xml:space="preserve">Zitiervorschlag: § 16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