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NW_26520 (Nordrhein-Westfalen) — Briefwahlvorsteher und Briefwahlvorstand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Briefwahlvorsteher und Briefwahlvorstände gilt § 5 entsprechend.</w:t>
      </w:r>
    </w:p>
    <w:p>
      <w:r>
        <w:t xml:space="preserve">(2) Der Bürgermeister bestimmt, wieviel Briefwahlvorstände zu bilden sind, um das Ergebnis der Briefwahl noch am Wahltag feststellen zu können.</w:t>
      </w:r>
    </w:p>
    <w:p>
      <w:r>
        <w:rPr>
          <w:color w:val="555555"/>
          <w:sz w:val="17"/>
        </w:rPr>
        <w:t xml:space="preserve">Zitiervorschlag: § 6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