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NW_26520 (Nordrhein-Westfalen) — Veröffentlichung des Wahlergebnisses im Land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Landeswahlleiter gibt die von den Kreiswahlausschüssen in den Wahlkreisen festgestellten Wahlergebnisse und das vom Landeswahlausschuß festgestellte Ergebnis der Wahl aus den Landeslisten bekannt. § 27 Satz 2 gilt entsprechend.</w:t>
      </w:r>
    </w:p>
    <w:p>
      <w:r>
        <w:t xml:space="preserve">(2) Vom Tage der Bekanntmachung läuft die Frist zur Erhebung von Einsprüchen gegen die Wahl (§ 2 Abs. 1 des Wahlprüfungsgesetzes NRW). Hierauf ist in der Bekanntmachung hinzuweisen.</w:t>
      </w:r>
    </w:p>
    <w:p>
      <w:r>
        <w:rPr>
          <w:color w:val="555555"/>
          <w:sz w:val="17"/>
        </w:rPr>
        <w:t xml:space="preserve">Zitiervorschlag: § 59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https://recht.nulegal.eu/gesetze/NW_26520/59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