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NW_26520 (Nordrhein-Westfalen) — Eröffnung der Wahlhandlung</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Wahlvorsteher verpflichtet die Beisitzer vor der Aufnahme ihrer Tätigkeit zur unparteiischen Wahrnehmung ihres Amtes und zur Verschwiegenheit über die ihnen bei ihrer amtlichen Tätigkeit bekannt gewordenen Angelegenheiten.</w:t>
      </w:r>
    </w:p>
    <w:p>
      <w:r>
        <w:t xml:space="preserve">(2) Vor Beginn der Stimmabgabe berichtigt der Wahlvorsteher das Wählerverzeichnis nach dem Verzeichnis der etwa nachträglich erteilten Wahlscheine (§ 18 Abs. 7 Satz 5), indem er bei den in diesem Verzeichnis aufgeführten Wahlberechtigten in der Spalte für den Stimmabgabevermerk ,,Wahlschein" oder ,,W" einträgt. Er berichtigt dementsprechend die Abschlußbescheinigung des Wählerverzeichnisses in der daneben vorgesehenen Spalte und bescheinigt dies an der vorgesehenen Stelle. Erhält der Wahlvorsteher später die Mitteilung von der Erteilung von Wahlscheinen nach § 17 Abs. 4 Satz 3, verfährt er entsprechend.</w:t>
      </w:r>
    </w:p>
    <w:p>
      <w:r>
        <w:t xml:space="preserve">(3) Der Wahlvorstand überzeugt sich vor Beginn der Stimmabgabe davon, daß die Wahlurne leer ist. Der Wahlvorsteher verschließt die Wahlurne. Sie darf bis zum Schluß der Wahlhandlung nicht mehr geöffnet werden.</w:t>
      </w:r>
    </w:p>
    <w:p>
      <w:r>
        <w:rPr>
          <w:color w:val="555555"/>
          <w:sz w:val="17"/>
        </w:rPr>
        <w:t xml:space="preserve">Zitiervorschlag: § 35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