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NW_26520 (Nordrhein-Westfalen) — Beteiligungsanzeige der in § 17a Absatz 2 des Gesetzes genannten Parteien, Beseitigung von Mängeln</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Landeswahlleiter vermerkt auf jeder Beteiligungsanzeige den Tag des Eingangs und prüft unverzüglich, ob sie den Anforderungen des Landeswahlgesetzes entspricht. Stellt er Mängel fest, so benachrichtigt er sofort den Vorstand der Partei und fordert ihn auf, behebbare Mängel rechtzeitig zu beseitigen. Dabei hat er darauf hinzuweisen, dass nach § 17a Absatz 3 des Gesetzes</w:t>
      </w:r>
    </w:p>
    <w:p>
      <w:r>
        <w:t xml:space="preserve">1. nach Ablauf der Anzeigefrist nur noch Mängel an sich gültiger Anzeigen behoben werden können,</w:t>
      </w:r>
    </w:p>
    <w:p>
      <w:r>
        <w:t xml:space="preserve">2. nach der Entscheidung über die Feststellung der Parteieigenschaft jede Mängelbeseitigung ausgeschlossen ist,</w:t>
      </w:r>
    </w:p>
    <w:p>
      <w:r>
        <w:t xml:space="preserve">3. der Vorstand der Partei gegen Verfügungen des Landeswahlleiters den Landeswahlausschuss anrufen kann.</w:t>
      </w:r>
    </w:p>
    <w:p>
      <w:r>
        <w:t xml:space="preserve">(2) Der Landeswahlleiter lädt die Vereinigungen, die ihre Beteiligung an der Wahl angezeigt haben, zu der Sitzung, in der über ihre Anerkennung als Partei für die Wahl entschieden wird. In der Ladung weist er auf die Bekanntgabe der Entscheidung in der Sitzung und die Rechtsfolgen hin. Er legt dem Landeswahlausschuss die Beteiligungsanzeigen vor und berichtet über das Ergebnis der Vorprüfung. Vor der Beschlussfassung ist den erschienenen Beteiligten Gelegenheit zur Äußerung zu geben.</w:t>
      </w:r>
    </w:p>
    <w:p>
      <w:r>
        <w:t xml:space="preserve">(3) Im Anschluss an die Feststellung nach § 17a Absatz 4 des Gesetzes gibt der Landeswahlleiter die Entscheidung des Landeswahlausschusses in der Sitzung unter kurzer Angabe der Gründe bekannt. Ist eine Partei oder Vereinigung wegen der Feststellung an der Einreichung von Wahlvorschlägen gehindert, weist er dabei auf den Rechtsbehelf der Beschwerde nach § 17a Absatz 5 des Gesetzes, die hierfür geltende Frist und die Rechtsfolgen einer Beschwerde hin. Die Entscheidung ist vom Landeswahlleiter öffentlich bekanntzumachen.</w:t>
      </w:r>
    </w:p>
    <w:p>
      <w:r>
        <w:t xml:space="preserve">(4) Die Niederschrift über die Sitzung des Landeswahlausschusses ist unverzüglich auszufertigen. In der Niederschrift sind die tragenden Gründe darzustellen. Der Landeswahlleiter übermittelt Parteien oder Vereinigungen, die durch die Feststellung des Landeswahlausschusses an der Einreichung von Wahlvorschlägen gehindert sind, unverzüglich, spätestens am Tag nach der Sitzung des Landeswahlausschusses, auf schnellstem Wege eine Ausfertigung des sie betreffenden Teils der Niederschrift mit den nach Absatz 3 Satz 2 erforderlichen Hinweisen.</w:t>
      </w:r>
    </w:p>
    <w:p>
      <w:r>
        <w:rPr>
          <w:color w:val="555555"/>
          <w:sz w:val="17"/>
        </w:rPr>
        <w:t xml:space="preserve">Zitiervorschlag: § 22a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https://recht.nulegal.eu/gesetze/NW_26520/22a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