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NW_26520 (Nordrhein-Westfalen) — Einsicht in das Wählerverzeichnis</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Gemeindebehörde hält das Wählerverzeichnis während der allgemeinen Öffnungszeiten zur Einsichtnahme bereit.</w:t>
      </w:r>
    </w:p>
    <w:p>
      <w:r>
        <w:t xml:space="preserve">(2) Bei Führung im automatisierten Verfahren kann die Einsichtnahme in das Wählerverzeichnis auch durch ein Datensichtgerät ermöglicht werden. Es ist sicherzustellen, daß Bemerkungen (§ 15 Abs. 3) im Klartext gelesen werden können. Das Datensichtgerät darf nur von Bediensteten der Gemeindeverwaltung bedient werden.</w:t>
      </w:r>
    </w:p>
    <w:p>
      <w:r>
        <w:t xml:space="preserve">(3) Innerhalb der Einsichtsfrist ist das Anfertigen von Auszügen aus dem Wählerverzeichnis durch Wahlberechtigte zulässig, soweit dies im Zusammenhang mit der Prüfung des Wahlrechts einzelner bestimmter Personen steht. Die Auszüge dürfen nur für diesen Zweck verwendet und unbeteiligten Dritten nicht zugänglich gemacht werden.</w:t>
      </w:r>
    </w:p>
    <w:p>
      <w:r>
        <w:rPr>
          <w:color w:val="555555"/>
          <w:sz w:val="17"/>
        </w:rPr>
        <w:t xml:space="preserve">Zitiervorschlag: § 13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