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NW_26520 (Nordrhein-Westfalen) — Eintragung der Wahlberechtigten</w:t>
      </w:r>
    </w:p>
    <w:p>
      <w:r>
        <w:rPr>
          <w:color w:val="555555"/>
          <w:sz w:val="18"/>
        </w:rPr>
        <w:t xml:space="preserve">LWahlO</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Von Amts wegen sind in das Wählerverzeichnis alle Wahlberechtigten einzutragen, die am 42. Tag vor der Wahl (Stichtag) bei der Meldebehörde für eine Wohnung, bei mehreren Wohnungen für die Hauptwohnung, gemeldet sind. In den Fällen des § 16 Abs. 1 Satz 3 des Gesetzes sind die Wahlberechtigten unverzüglich nach der Anmeldung in das Wählerverzeichnis einzutragen. Hierauf sollen sie bei der Anmeldung hingewiesen werden.</w:t>
      </w:r>
    </w:p>
    <w:p>
      <w:r>
        <w:t xml:space="preserve">(2) Wahlberechtigte, die nicht nach Absatz 1 Satz 1 von Amts wegen in das Wählerverzeichnis eingetragen worden sind, werden bis zum Beginn der Einsichtsfrist auf Antrag eingetragen. Zuständig für die Eintragung von Wahlberechtigten, die sich im Lande sonst gewöhnlich aufhalten, ohne eine Wohnung innezuhaben, ist die Gemeinde, in der sie sich am Stichtag gewöhnlich aufhalten oder aufgehalten haben. § 17 Abs. 3 bis 5 des Gesetzes und § 14 sind sinngemäß anzuwenden.</w:t>
      </w:r>
    </w:p>
    <w:p>
      <w:r>
        <w:t xml:space="preserve">(3) Verlegen Wahlberechtigte nach dem Stichtag und vor dem Beginn der Einsichtsfrist ihre Wohnung, bei mehreren Wohnungen ihre Hauptwohnung, innerhalb des Landes von einer Gemeinde in eine andere, so sind sie auf Antrag in das Wählerverzeichnis einzutragen, falls sie nicht in ihrer bisherigen Wohngemeinde wählen wollen. Hierauf sollen sie bei der Anmeldung hingewiesen werden. Anträge auf Aufnahme in das Wählerverzeichnis sollen nach Möglichkeit sogleich bei der Anmeldung entgegengenommen werden. Werden die Wahlberechtigten in das Wählerverzeichnis aufgenommen, so ist dies der Fortzugsgemeinde mitzuteilen. Diese streicht die Wahlberechtigten im Wählerverzeichnis.</w:t>
      </w:r>
    </w:p>
    <w:p>
      <w:r>
        <w:t xml:space="preserve">4) Verlegen Wahlberechtigte während der Einsichtsfrist ihre Wohnung, bei mehreren Wohnungen ihre Hauptwohnung, innerhalb des Landes von einer Gemeinde in eine andere, so sind sie auf Einspruch in das Wählerverzeichnis einzutragen. Absatz 3 Satz 2 bis 5 ist entsprechend anzuwenden.</w:t>
      </w:r>
    </w:p>
    <w:p>
      <w:r>
        <w:rPr>
          <w:color w:val="555555"/>
          <w:sz w:val="17"/>
        </w:rPr>
        <w:t xml:space="preserve">Zitiervorschlag: § 10 NW_26520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https://recht.nulegal.eu/gesetze/NW_26520/10</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