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NW_26519 (Nordrhein-Westfalen)</w:t>
      </w:r>
    </w:p>
    <w:p>
      <w:r>
        <w:rPr>
          <w:color w:val="555555"/>
          <w:sz w:val="18"/>
        </w:rPr>
        <w:t xml:space="preserve">Gesetz über die Wahl zum Landtag des Landes Nordrhein-Westfalen (Landeswahlgesetz) in der Fassung der Bekanntmachung vom 16. August 1993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Landeswahlleiter und sein Stellvertreter werden von der Landesregierung ernannt. Der Landeswahlleiter ist für die ordnungsmäßige Vorbereitung und Durchführung der Wahl verantwortlich, soweit nicht andere Wahlorgane zuständig sind.</w:t>
      </w:r>
    </w:p>
    <w:p>
      <w:r>
        <w:t xml:space="preserve">(2) Der Landeswahlausschuss besteht aus dem Landeswahlleiter als Vorsitzendem, zehn Beisitzern, die der Landtag aus seiner Mitte beruft, und zwei Richtern des Oberverwaltungsgerichts für das Land Nordrhein-Westfalen, die der Landeswahlleiter auf Vorschlag der Präsidentin oder des Präsidenten des Oberverwaltungsgerichts beruft. Für jeden Beisitzer und für jeden Richter ist ein Stellvertreter zu benennen. Der Landeswahlausschuß entscheidet in öffentlicher Sitzung. Er ist ohne Rücksicht auf die Zahl der erschienenen Beisitzer und Richter beschlußfähig. Bei Stimmengleichheit gibt die Stimme des Vorsitzenden den Ausschlag. Im übrigen finden auf den Landeswahlausschuß die Vorschriften der Geschäftsordnung des Landtags über die Landtagsausschüsse entsprechende Anwendung.</w:t>
      </w:r>
    </w:p>
    <w:p>
      <w:r>
        <w:t xml:space="preserve">(3) Der Landeswahlausschuß hat folgende Aufgaben:</w:t>
      </w:r>
    </w:p>
    <w:p>
      <w:r>
        <w:t xml:space="preserve">a) über die Möglichkeit von Parteien zur Teilnahme an der Landtagswahl von Amts wegen oder durch Anerkennung als Partei nach einer Beteiligungsanzeige zu entscheiden (§ 17a Absatz 4),</w:t>
      </w:r>
    </w:p>
    <w:p>
      <w:r>
        <w:t xml:space="preserve">b) über Einsprüche gegen Verfügungen des Landeswahlleiters im Mängelbeseitigungsverfahren (§ 21 Abs. 1 Satz 3) zu entscheiden,</w:t>
      </w:r>
    </w:p>
    <w:p>
      <w:r>
        <w:t xml:space="preserve">c) über die Zulassung der Landeslisten zu beschließen (§ 21 Abs. 3),</w:t>
      </w:r>
    </w:p>
    <w:p>
      <w:r>
        <w:t xml:space="preserve">d) über Beschwerden gegen die Zulassung oder Zurückweisung von Kreiswahlvorschlägen zu entscheiden (§ 21 Abs. 4),</w:t>
      </w:r>
    </w:p>
    <w:p>
      <w:r>
        <w:t xml:space="preserve">e) über die Zuweisung der Sitze aus den Landeslisten zu entscheiden (§ 33 Abs. 1 bis 7).</w:t>
      </w:r>
    </w:p>
    <w:p>
      <w:r>
        <w:rPr>
          <w:color w:val="555555"/>
          <w:sz w:val="17"/>
        </w:rPr>
        <w:t xml:space="preserve">Zitiervorschlag: § 9 NW_26519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https://recht.nulegal.eu/gesetze/NW_26519/9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