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Wahltag wird durch die Landesregierung festgesetzt.</w:t>
      </w:r>
    </w:p>
    <w:p>
      <w:r>
        <w:t xml:space="preserve">(2) Die Wahlzeit dauert von 8 bis 18 Uhr. Der Landeswahlleiter kann im Einzelfall, wenn besondere Gründe es erfordern, die Wahlzeit mit einem früheren Beginn festsetzen.</w:t>
      </w:r>
    </w:p>
    <w:p>
      <w:r>
        <w:rPr>
          <w:color w:val="555555"/>
          <w:sz w:val="17"/>
        </w:rPr>
        <w:t xml:space="preserve">Zitiervorschlag: § 7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