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staatlichen Mittel nach dem Parteiengesetz für die bei Landtagswahlen erzielten Stimmen werden vom Präsidenten des Landtags ausgezahlt.</w:t>
      </w:r>
    </w:p>
    <w:p>
      <w:r>
        <w:t xml:space="preserve">(2) Die erforderlichen Mittel sind im Haushaltsplan des Landtags auszubringen.</w:t>
      </w:r>
    </w:p>
    <w:p>
      <w:r>
        <w:t xml:space="preserve">(3) Der Landesrechnungshof prüft, ob der Präsident des Landtags die staatlichen Mittel entsprechend den Vorschriften des Parteiengesetzes ausgezahlt hat.</w:t>
      </w:r>
    </w:p>
    <w:p>
      <w:r>
        <w:rPr>
          <w:color w:val="555555"/>
          <w:sz w:val="17"/>
        </w:rPr>
        <w:t xml:space="preserve">Zitiervorschlag: § 41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