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erstattet den Gemeinden und den Kreiswahlleitern die Kosten der Landtagswahl. Die Kosten der Gemeinden werden nach festen und nach Gemeindegrößen abgestuften Sätzen erstattet, die von dem für Inneres zuständigen Ministerium festgesetzt werden.</w:t>
      </w:r>
    </w:p>
    <w:p>
      <w:r>
        <w:t xml:space="preserve">VII. Staatliche Mittel für Parteien</w:t>
      </w:r>
    </w:p>
    <w:p>
      <w:r>
        <w:t xml:space="preserve">und sonstige Träger von Wahlvorschlägen</w:t>
      </w:r>
    </w:p>
    <w:p>
      <w:r>
        <w:rPr>
          <w:color w:val="555555"/>
          <w:sz w:val="17"/>
        </w:rPr>
        <w:t xml:space="preserve">Zitiervorschlag: § 40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