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NW_26519 (Nordrhein-Westfalen)</w:t>
      </w:r>
    </w:p>
    <w:p>
      <w:r>
        <w:rPr>
          <w:color w:val="555555"/>
          <w:sz w:val="18"/>
        </w:rPr>
        <w:t xml:space="preserve">Gesetz über die Wahl zum Landtag des Landes Nordrhein-Westfalen (Landeswahlgesetz) in der Fassung der Bekanntmachung vom 16.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Nachwahl findet statt,</w:t>
      </w:r>
    </w:p>
    <w:p>
      <w:r>
        <w:t xml:space="preserve">1. wenn in einem Wahlkreis oder in einem Stimmbezirk die Wahl nicht durchgeführt worden ist,</w:t>
      </w:r>
    </w:p>
    <w:p>
      <w:r>
        <w:t xml:space="preserve">2. wenn ein in dem Wahlkreis vorgeschlagener Bewerber nach der Zulassung des Wahlvorschlages, aber noch vor dem Wahltag, stirbt.</w:t>
      </w:r>
    </w:p>
    <w:p>
      <w:r>
        <w:t xml:space="preserve">(2) Die Nachwahl soll spätestens drei Wochen nach dem Tage der ausgefallenen Wahl stattfinden. Im Fall des Absatzes 1 Nr. 2 kann sie am Wahltag nach § 7 Abs. 1 stattfinden. Den Tag der Nachwahl und die für ihre Vorbereitung maßgeblichen Fristen und Termine bestimmt der Landeswahlleiter.</w:t>
      </w:r>
    </w:p>
    <w:p>
      <w:r>
        <w:t xml:space="preserve">(3) Die Nachwahl findet auf denselben Grundlagen und nach denselben Vorschriften wie die ausgefallene Wahl statt, soweit nicht eine Ergänzung der Wahlvorschläge erforderlich ist. Der Landeswahlleiter kann im Einzelfall Regelungen zur Anpassung an besondere Verhältnisse treffen.</w:t>
      </w:r>
    </w:p>
    <w:p>
      <w:r>
        <w:rPr>
          <w:color w:val="555555"/>
          <w:sz w:val="17"/>
        </w:rPr>
        <w:t xml:space="preserve">Zitiervorschlag: § 36 NW_26519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https://recht.nulegal.eu/gesetze/NW_26519/36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