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gewählter Bewerber erwirbt die Mitgliedschaft im Landtag mit der Feststellung seiner Wahl nach § 32 Abs. 2 oder § 33 Abs. 7, nicht jedoch vor Ablauf der Wahlperiode des alten Landtages.</w:t>
      </w:r>
    </w:p>
    <w:p>
      <w:r>
        <w:t xml:space="preserve">V. Nachwahlen, Wiederholungswahlen</w:t>
      </w:r>
    </w:p>
    <w:p>
      <w:r>
        <w:t xml:space="preserve">und Ersatz von Abgeordneten</w:t>
      </w:r>
    </w:p>
    <w:p>
      <w:r>
        <w:rPr>
          <w:color w:val="555555"/>
          <w:sz w:val="17"/>
        </w:rPr>
        <w:t xml:space="preserve">Zitiervorschlag: § 35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