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34 NW_26519 (Nordrhein-Westfalen)</w:t>
      </w:r>
    </w:p>
    <w:p>
      <w:r>
        <w:rPr>
          <w:color w:val="555555"/>
          <w:sz w:val="18"/>
        </w:rPr>
        <w:t xml:space="preserve">Gesetz über die Wahl zum Landtag des Landes Nordrhein-Westfalen (Landeswahlgesetz) in der Fassung der Bekanntmachung vom 16. August 1993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Kreiswahlleiter macht das Ergebnis im Wahlkreis, der Landeswahlleiter das Ergebnis im Land bekannt.</w:t>
      </w:r>
    </w:p>
    <w:p>
      <w:r>
        <w:rPr>
          <w:color w:val="555555"/>
          <w:sz w:val="17"/>
        </w:rPr>
        <w:t xml:space="preserve">Zitiervorschlag: § 34 NW_26519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https://recht.nulegal.eu/gesetze/NW_26519/34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