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NW_26519 (Nordrhein-Westfalen)</w:t>
      </w:r>
    </w:p>
    <w:p>
      <w:r>
        <w:rPr>
          <w:color w:val="555555"/>
          <w:sz w:val="18"/>
        </w:rPr>
        <w:t xml:space="preserve">Gesetz über die Wahl zum Landtag des Landes Nordrhein-Westfalen (Landeswahlgesetz) in der Fassung der Bekanntmachung vom 16. August 1993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Wählen kann nur, wer in ein Wählerverzeichnis eingetragen ist oder einen Wahlschein hat.</w:t>
      </w:r>
    </w:p>
    <w:p>
      <w:r>
        <w:t xml:space="preserve">(2) Der Wähler kann nur in dem Stimmbezirk wählen, in dessen Wählerverzeichnis er eingetragen ist.</w:t>
      </w:r>
    </w:p>
    <w:p>
      <w:r>
        <w:t xml:space="preserve">(3) Inhaber eines Wahlscheines können in jedem Stimmbezirk des Wahlkreises oder durch Briefwahl wählen.</w:t>
      </w:r>
    </w:p>
    <w:p>
      <w:r>
        <w:t xml:space="preserve">(4) Ein Wahlberechtigter, der in das Wählerverzeichnis eingetragen ist, erhält auf Antrag einen Wahlschein. Ein Wahlberechtigter, der nicht in das Wählerverzeichnis eingetragen ist, erhält auf Antrag einen Wahlschein, wenn</w:t>
      </w:r>
    </w:p>
    <w:p>
      <w:r>
        <w:t xml:space="preserve">1. er nachweist, dass er aus einem von ihm nicht zu vertretenden Grund die Einspruchsfrist versäumt hat;</w:t>
      </w:r>
    </w:p>
    <w:p>
      <w:r>
        <w:t xml:space="preserve">2. er aus einem von ihm nicht zu vertretenden Grund nicht in das Wählerverzeichnis aufgenommen worden ist;</w:t>
      </w:r>
    </w:p>
    <w:p>
      <w:r>
        <w:t xml:space="preserve">3. seine Berechtigung zur Teilnahme an der Wahl erst nach der Einspruchsfrist entstanden ist oder sich herausstellt.</w:t>
      </w:r>
    </w:p>
    <w:p>
      <w:r>
        <w:t xml:space="preserve">(5) Wird der Wahlschein versagt, so kann dagegen Einspruch eingelegt werden. § 17 ist sinngemäß anzuwenden.</w:t>
      </w:r>
    </w:p>
    <w:p>
      <w:r>
        <w:rPr>
          <w:color w:val="555555"/>
          <w:sz w:val="17"/>
        </w:rPr>
        <w:t xml:space="preserve">Zitiervorschlag: § 3 NW_26519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https://recht.nulegal.eu/gesetze/NW_26519/3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