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Stimmenzählung hat unmittelbar im Anschluß an die Wahl im Wahllokal zu erfolgen.</w:t>
      </w:r>
    </w:p>
    <w:p>
      <w:r>
        <w:t xml:space="preserve">(2) Bei der Stimmenzählung ist zunächst die Gesamtzahl der Wähler anhand des Wählerverzeichnisses und der eingenommenen Wahlscheine festzustellen und mit der Zahl der in den Urnen befindlichen Stimmzettel zu vergleichen. Danach wird die Zahl der gültigen Erst- und Zweitstimmen sowie der auf jeden Kreiswahlvorschlag entfallenen gültigen Erststimmen und der auf jede Landesliste entfallenen gültigen Zweitstimmen ermittelt.</w:t>
      </w:r>
    </w:p>
    <w:p>
      <w:r>
        <w:t xml:space="preserve">(3) Über die Gültigkeit der Stimmen entscheidet der Wahlvorstand.</w:t>
      </w:r>
    </w:p>
    <w:p>
      <w:r>
        <w:rPr>
          <w:color w:val="555555"/>
          <w:sz w:val="17"/>
        </w:rPr>
        <w:t xml:space="preserve">Zitiervorschlag: § 29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