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Briefwahl hat der Wähler dem Bürgermeister, der den Wahlschein ausgestellt hat, in verschlossenem Wahlbrief</w:t>
      </w:r>
    </w:p>
    <w:p>
      <w:r>
        <w:t xml:space="preserve">a) seinen Wahlschein,</w:t>
      </w:r>
    </w:p>
    <w:p>
      <w:r>
        <w:t xml:space="preserve">b) in einem besonderen verschlossenen Stimmzettelumschlag seinen Stimmzettel</w:t>
      </w:r>
    </w:p>
    <w:p>
      <w:r>
        <w:t xml:space="preserve">so rechtzeitig zu übersenden, dass der Wahlbrief spätestens am Wahltage bis 18.00 Uhr bei ihm eingeht.</w:t>
      </w:r>
    </w:p>
    <w:p>
      <w:r>
        <w:t xml:space="preserve">(2) Auf dem Wahlschein hat der Wähler oder die Hilfsperson (§ 26 Absatz 5) dem Bürgermeister an Eides statt zu versichern, dass der Stimmzettel persönlich oder gemäß dem erklärten Willen des Wählers gekennzeichnet worden ist. Der Bürgermeister ist zur Abnahme einer solchen Versicherung an Eides statt zuständig; er ist Behörde im Sinne des § 156 des Strafgesetzbuches.</w:t>
      </w:r>
    </w:p>
    <w:p>
      <w:r>
        <w:rPr>
          <w:color w:val="555555"/>
          <w:sz w:val="17"/>
        </w:rPr>
        <w:t xml:space="preserve">Zitiervorschlag: § 28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