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Wähler hat zwei Stimmen, eine Erststimme für die Wahl eines Wahlkreisabgeordneten und eine Zweitstimme für die Wahl einer Landesliste. Er gibt seine Stimmen geheim ab.</w:t>
      </w:r>
    </w:p>
    <w:p>
      <w:r>
        <w:t xml:space="preserve">(2) Der Wähler gibt</w:t>
      </w:r>
    </w:p>
    <w:p>
      <w:r>
        <w:t xml:space="preserve">1. seine Erststimme in der Weise ab, dass er durch ein auf den Stimmzettel gesetztes Kreuz oder auf andere Weise eindeutig kenntlich macht, welchem Bewerber eines Kreiswahlvorschlages sie gelten soll,</w:t>
      </w:r>
    </w:p>
    <w:p>
      <w:r>
        <w:t xml:space="preserve">2. seine Zweitstimme in der Weise ab, dass er durch ein auf den Stimmzettel gesetztes Kreuz oder auf andere Weise eindeutig kenntlich macht, welcher Landesliste sie gelten soll.</w:t>
      </w:r>
    </w:p>
    <w:p>
      <w:r>
        <w:t xml:space="preserve">(3) Der Wähler faltet daraufhin den Stimmzettel in der Weise, dass seine Stimmabgabe nicht erkennbar ist, und wirft ihn in die Wahlurne.</w:t>
      </w:r>
    </w:p>
    <w:p>
      <w:r>
        <w:t xml:space="preserve">(4) Der Wähler kann seine Stimmen nur einmal und nur persönlich abgeben. Eine Stimmabgabe durch einen Vertreter anstelle des Wählers ist unzulässig.</w:t>
      </w:r>
    </w:p>
    <w:p>
      <w:r>
        <w:t xml:space="preserve">(5) Ein Wähler, der des Lesens unkundig oder aufgrund einer Behinderung an der Abgabe seiner Stimme gehindert ist, kann sich hierzu der Hilfe einer anderen Person bedienen. Die Hilfeleistung ist auf technische Hilfe bei der Kundgabe einer vom Wähler selbst getroffenen und geäußerten Wahlentscheidung beschränkt. Unzulässig ist eine Hilfeleistung, die unter missbräuchlicher Einflussnahme erfolgt, die die selbstbestimmte Willensbildung oder Entscheidung des Wählers ersetzt oder verändert oder wenn ein Interessenskonflikt der Hilfsperson besteht. Die Hilfsperson ist zur Geheimhaltung der Kenntnisse verpflichtet, die sie bei der Hilfeleistung von der Wahl einer anderen Person erlangt hat. Blinde oder sehbeeinträchtigte Wähler können sich zur Kennzeichnung des Stimmzettels auch einer Stimmzettelschablone bedienen.</w:t>
      </w:r>
    </w:p>
    <w:p>
      <w:r>
        <w:rPr>
          <w:color w:val="555555"/>
          <w:sz w:val="17"/>
        </w:rPr>
        <w:t xml:space="preserve">Zitiervorschlag: § 26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