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Kreiswahlleiter macht die zugelassenen Kreiswahlvorschläge spätestens am zweiundvierzigsten Tage vor der Wahl öffentlich bekannt.</w:t>
      </w:r>
    </w:p>
    <w:p>
      <w:r>
        <w:t xml:space="preserve">(2) Der Landeswahlleiter macht die zugelassenen Landeslisten spätestens am fünfzigsten Tage vor der Wahl öffentlich bekannt.</w:t>
      </w:r>
    </w:p>
    <w:p>
      <w:r>
        <w:t xml:space="preserve">(3) Für die Reihenfolge in der Bekanntmachung gilt § 24 Abs. 2.</w:t>
      </w:r>
    </w:p>
    <w:p>
      <w:r>
        <w:rPr>
          <w:color w:val="555555"/>
          <w:sz w:val="17"/>
        </w:rPr>
        <w:t xml:space="preserve">Zitiervorschlag: § 22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