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Kreiswahlleiter können bis zum neunundsechzigsten Tage vor der Wahl, 18 Uhr, Wahlvorschläge für die Wahl im Wahlkreis (Kreiswahlvorschläge) eingereicht werden.</w:t>
      </w:r>
    </w:p>
    <w:p>
      <w:r>
        <w:t xml:space="preserve">(2) Kreiswahlvorschläge von Parteien müssen von dem zum Zeitpunkt der Einreichung bestehenden Vorstand des Landesverbandes oder, wenn Landesverbände nicht bestehen, von den Vorständen der nächstniedrigen Gebietsverbände (§ 7 Abs. 2 des Parteiengesetzes), in deren Bereich der Wahlkreis liegt, persönlich und handschriftlich unterzeichnet sein. Die Wahlvorschläge von Parteien, die nicht im Landtag oder im Deutschen Bundestag aufgrund eines Wahlvorschlages aus dem Land ununterbrochen seit deren letzter Wahl vertreten sind oder bei der letzten Landtagswahl ein endgültiges Wahlergebnis von mehr als 1 Prozent erreicht haben, müssen ferner von mindestens 200 Wahlberechtigten des Wahlkreises persönlich und handschriftlich unterzeichnet sein; dies gilt auch für Wahlvorschläge von Wählergruppen und Einzelbewerbern. Die Wahlberechtigung ist nachzuweisen. Die ordnungsgemäße Unterzeichnung mit dem Nachweis der Wahlberechtigung der Unterzeichner bis zum Ablauf der Einreichungsfrist ist Voraussetzung für das Vorliegen eines gültigen Wahlvorschlages, es sei denn, der Nachweis kann infolge von Umständen, die der Wahlvorschlagsberechtigte nicht zu vertreten hat, nicht rechtzeitig erbracht werden.</w:t>
      </w:r>
    </w:p>
    <w:p>
      <w:r>
        <w:t xml:space="preserve">(3) Jeder Wahlvorschlag muss Familienname, Vorname, Beruf oder Stand, Geburtsdatum, Geburtsort, Anschrift sowie bei Parteien und Wählergruppen deren Namen oder Bezeichnung und, sofern sie eine Kurzbezeichnung verwenden, auch diese, angeben. Jeder Wahlvorschlag darf nur einen Bewerber enthalten. Ein Bewerber darf - unbeschadet seiner Bewerbung in einer Landesliste - nur in einem Wahlvorschlag benannt werden. In einen Wahlvorschlag darf nur aufgenommen werden, wer seine Zustimmung schriftlich erteilt hat; die Zustimmung ist unwiderruflich. Die ordnungsmäßige Abgabe der Zustimmungserklärung bis zum Ablauf der Einreichungsfrist ist Voraussetzung für die Abgabe eines gültigen Wahlvorschlages.</w:t>
      </w:r>
    </w:p>
    <w:p>
      <w:r>
        <w:t xml:space="preserve">(4) In jedem Kreiswahlvorschlag sollen eine Vertrauensperson und eine stellvertretende Vertrauensperson bezeichnet werden. Fehlt diese Bezeichnung, so gelten die Person, die als erste unterzeichnet hat, als Vertrauensperson, und diejenige, die als zweite unterzeichnet hat, als stellvertretende Vertrauensperson.</w:t>
      </w:r>
    </w:p>
    <w:p>
      <w:r>
        <w:t xml:space="preserve">(5) Frauen und Männer sollen gleichmäßig im Landtag repräsentiert sein (Geschlechterparität). Bei der Aufstellung der Wahlvorschläge sind die Parteien aufgefordert, Geschlechterparität anzustreben.</w:t>
      </w:r>
    </w:p>
    <w:p>
      <w:r>
        <w:rPr>
          <w:color w:val="555555"/>
          <w:sz w:val="17"/>
        </w:rPr>
        <w:t xml:space="preserve">Zitiervorschlag: § 19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