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Bewerber einer Partei oder einer Wählergruppe kann in einem Kreiswahlvorschlag nur benannt werden, wer in einer Mitgliederversammlung oder in einer Vertreterversammlung des Wahlkreises hierzu gewählt worden ist.</w:t>
      </w:r>
    </w:p>
    <w:p>
      <w:r>
        <w:t xml:space="preserve">(2) Die Bewerber und die Vertreter für die Vertreterversammlungen sind in geheimer Wahl zu wählen. Stimmberechtigt ist nur, wer am Tage des Zusammentritts der Versammlung im Wahlkreis zum Landtag wahlberechtigt ist. Jeder stimmberechtigte Teilnehmer der Versammlung ist vorschlagsberechtigt. Den Bewerbern ist Gelegenheit zu geben, sich und ihr Programm der Versammlung in angemessener Zeit vorzustellen.</w:t>
      </w:r>
    </w:p>
    <w:p>
      <w:r>
        <w:t xml:space="preserve">(3) Als Vertreter für eine Vertreterversammlung kann nur gewählt werden, wer am Tage des Zusammentritts der zur Wahl der Vertreter einberufenen Versammlung im Wahlkreis zum Landtag wahlberechtigt ist. Als Bewerber einer Partei kann nur gewählt werden, wer deren Mitglied ist und keiner anderen Partei angehört oder wer keiner Partei angehört.</w:t>
      </w:r>
    </w:p>
    <w:p>
      <w:r>
        <w:t xml:space="preserve">(4) In Kreisen und kreisfreien Städten, die mehrere Wahlkreise umfassen, können die Bewerber für diejenigen Wahlkreise, deren Gebiet die Grenze des Kreises oder der kreisfreien Stadt nicht durchschneiden, in einer gemeinsamen Mitglieder- oder Vertreterversammlung gewählt werden.</w:t>
      </w:r>
    </w:p>
    <w:p>
      <w:r>
        <w:t xml:space="preserve">(5) Die Wahlen der Bewerber und der Vertreter für die Vertreterversammlungen sind innerhalb der letzten 15 Monate vor Ablauf der Wahlperiode durchzuführen.</w:t>
      </w:r>
    </w:p>
    <w:p>
      <w:r>
        <w:t xml:space="preserve">(6) Der Vorstand des Landesverbandes oder, wenn Landesverbände nicht bestehen, die Vorstände der nächstniedrigen Gebietsverbände (§ 7 Abs. 2 des Parteiengesetzes), in deren Bereich der Wahlkreis liegt, oder eine andere in der Parteisatzung hierfür vorgesehene Stelle können gegen den Beschluss einer Mitglieder- oder Vertreterversammlung Einspruch erheben. Auf einen solchen Einspruch ist die Abstimmung zu wiederholen; ihr Ergebnis ist endgültig.</w:t>
      </w:r>
    </w:p>
    <w:p>
      <w:r>
        <w:t xml:space="preserve">(7) Das Nähere über die Wahl der Vertreter für die Vertreterversammlung, über die Einberufung und Beschlussfähigkeit der Mitglieder- oder Vertreterversammlung sowie über das Verfahren für die Wahl der Bewerber regeln die Parteien und Wählergruppen durch ihre Satzung.</w:t>
      </w:r>
    </w:p>
    <w:p>
      <w:r>
        <w:t xml:space="preserve">(8) Eine Ausfertigung der Niederschrift über die Wahl des Bewerbers mit Angaben über Ort und Zeit der Versammlung, Form der Einladung, Zahl der erschienenen wahlberechtigten Mitglieder und Ergebnis der Abstimmung ist mit dem Kreiswahlvorschlag einzureichen. Beizufügen ist die gegenüber dem Kreiswahlleiter abzugebende Versicherung an Eides statt des Bewerbers einer Partei, dass er Mitglied der Partei ist, für die er sich bewirbt, und dass er keiner weiteren Partei angehört, oder dass er keiner Partei angehört. Der Leiter der Versammlung und zwei von dieser bestimmte Teilnehmer haben gegenüber dem Kreiswahlleiter an Eides statt zu versichern, dass die Wahl der Bewerber in geheimer Abstimmung erfolgt und den Bewerbern Gelegenheit gegeben worden ist, sich und ihr Programm der Versammlung in angemessener Zeit vorzustellen. Der Kreiswahlleiter ist zur Abnahme der Versicherungen an Eides statt nach den Sätzen 2 und 3 zuständig; er ist Behörde im Sinne des § 156 des Strafgesetzbuches. Die Beibringung einer Ausfertigung der Niederschrift und der Versicherungen an Eides statt bis zum Ablauf der Einreichungsfrist ist Voraussetzung für das Vorliegen eines gültigen Wahlvorschlages.</w:t>
      </w:r>
    </w:p>
    <w:p>
      <w:r>
        <w:rPr>
          <w:color w:val="555555"/>
          <w:sz w:val="17"/>
        </w:rPr>
        <w:t xml:space="preserve">Zitiervorschlag: § 18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