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das Wählerverzeichnis für unrichtig oder unvollständig hält, kann innerhalb der in § 16 Abs. 2 Satz 1 genannten Frist bei der Gemeindeverwaltung Einspruch einlegen.</w:t>
      </w:r>
    </w:p>
    <w:p>
      <w:r>
        <w:t xml:space="preserve">(2) Richtet sich der Einspruch gegen die Eintragung eines anderen, so ist dieser vor der Entscheidung zu hören.</w:t>
      </w:r>
    </w:p>
    <w:p>
      <w:r>
        <w:t xml:space="preserve">(3) Der Bürgermeister hat die Entscheidung unverzüglich zu fällen und dem Antragsteller und dem Betroffenen zuzustellen.</w:t>
      </w:r>
    </w:p>
    <w:p>
      <w:r>
        <w:t xml:space="preserve">(4) Gegen die Entscheidung des Bürgermeisters kann binnen drei Tagen nach Zustellung Beschwerde eingelegt werden, über die die Aufsichtsbehörde entscheidet.</w:t>
      </w:r>
    </w:p>
    <w:p>
      <w:r>
        <w:t xml:space="preserve">(5) Die Einspruchs- oder Beschwerdeentscheidung ist für die Berechtigung zur Teilnahme an der Wahl endgültig. Sie schließt die Erhebung eines Einspruchs im Wahlprüfungsverfahren nicht aus (§ 1 des Wahlprüfungsgesetzes NW vom 20. November 1951 (GV. NRW. S. 147), das zuletzt durch Artikel 3 des Gesetzes vom 24. Mai 2016 (GV. NRW. S. 250) geändert worden ist).</w:t>
      </w:r>
    </w:p>
    <w:p>
      <w:r>
        <w:rPr>
          <w:color w:val="555555"/>
          <w:sz w:val="17"/>
        </w:rPr>
        <w:t xml:space="preserve">Zitiervorschlag: § 17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