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jedem Wahlkreis wird ein Abgeordneter mit relativer Mehrheit nach § 32 gewählt.</w:t>
      </w:r>
    </w:p>
    <w:p>
      <w:r>
        <w:t xml:space="preserve">(2) Zu den nach Absatz 1 gewählten Abgeordneten treten nach Verhältniswahlgrundsätzen weitere Abgeordnete aus gesondert gewählten Landeslisten nach § 33. Der Berechnung der Sitzzahlen wird eine Gesamtzahl von 181 Sitzen zugrunde gelegt.</w:t>
      </w:r>
    </w:p>
    <w:p>
      <w:r>
        <w:rPr>
          <w:color w:val="555555"/>
          <w:sz w:val="17"/>
        </w:rPr>
        <w:t xml:space="preserve">Zitiervorschlag: § 14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