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NW_26519 (Nordrhein-Westfalen)</w:t>
      </w:r>
    </w:p>
    <w:p>
      <w:r>
        <w:rPr>
          <w:color w:val="555555"/>
          <w:sz w:val="18"/>
        </w:rPr>
        <w:t xml:space="preserve">Gesetz über die Wahl zum Landtag des Landes Nordrhein-Westfalen (Landeswahlgesetz) in der Fassung der Bekanntmachung vom 16. August 1993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Wahlberechtigt ist, wer am Wahltag</w:t>
      </w:r>
    </w:p>
    <w:p>
      <w:r>
        <w:t xml:space="preserve">1. Deutscher im Sinne des Artikels 116 Abs. 1 des Grundgesetzes ist,</w:t>
      </w:r>
    </w:p>
    <w:p>
      <w:r>
        <w:t xml:space="preserve">2. das sechzehnte Lebensjahr vollendet hat und</w:t>
      </w:r>
    </w:p>
    <w:p>
      <w:r>
        <w:t xml:space="preserve">3. mindestens seit dem 16. Tag vor der Wahl in Nordrhein-Westfalen seine Wohnung, bei mehreren Wohnungen seine Hauptwohnung hat oder sich sonst gewöhnlich aufhält und keine Wohnung außerhalb des Landes hat.</w:t>
      </w:r>
    </w:p>
    <w:p>
      <w:r>
        <w:rPr>
          <w:color w:val="555555"/>
          <w:sz w:val="17"/>
        </w:rPr>
        <w:t xml:space="preserve">Zitiervorschlag: § 1 NW_26519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https://recht.nulegal.eu/gesetze/NW_26519/1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