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Präsident des Landtags hat die Entscheidung innerhalb von zwei Wochen seit der Beschlußfassung zuzustellen</w:t>
      </w:r>
    </w:p>
    <w:p>
      <w:r>
        <w:t xml:space="preserve">a) denjenigen Personen, die Einspruch eingelegt haben, oder den Antragstellern,</w:t>
      </w:r>
    </w:p>
    <w:p>
      <w:r>
        <w:t xml:space="preserve">b) denjenigen Abgeordneten, deren Mandat durch die Entscheidung berührt wird.</w:t>
      </w:r>
    </w:p>
    <w:p>
      <w:r>
        <w:t xml:space="preserve">(2) Er hat den Bericht über die Landtagssitzung mit der Landtagsdrucksache über die Beratungen des Ausschusses sowie eine Rechtsmittelbelehrung beizufügen.</w:t>
      </w:r>
    </w:p>
    <w:p>
      <w:r>
        <w:rPr>
          <w:color w:val="555555"/>
          <w:sz w:val="17"/>
        </w:rPr>
        <w:t xml:space="preserve">Zitiervorschlag: § 9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