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NW_26516 (Nordrhein-Westfalen)</w:t>
      </w:r>
    </w:p>
    <w:p>
      <w:r>
        <w:rPr>
          <w:color w:val="555555"/>
          <w:sz w:val="18"/>
        </w:rPr>
        <w:t xml:space="preserve">Gesetz über die Prüfung der Wahlen zum Landtag des Landes Nordrhein-Westfalen - Wahlprüfungsgesetz NW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Abgeordnete, gegen dessen Wahl Einspruch eingelegt worden ist, oder dessen Mitgliedschaft nach § 1 Abs. 2 bestritten wird, hat bei der Wahlprüfung durch den Landtag kein Stimmrecht. Dies gilt nicht, wenn der Einspruch sich mit derselben Begründung auf mehr als fünf Abgeordnete einer Fraktion bezieht.</w:t>
      </w:r>
    </w:p>
    <w:p>
      <w:r>
        <w:rPr>
          <w:color w:val="555555"/>
          <w:sz w:val="17"/>
        </w:rPr>
        <w:t xml:space="preserve">Zitiervorschlag: § 6 NW_26516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