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NW_26516 (Nordrhein-Westfalen)</w:t>
      </w:r>
    </w:p>
    <w:p>
      <w:r>
        <w:rPr>
          <w:color w:val="555555"/>
          <w:sz w:val="18"/>
        </w:rPr>
        <w:t xml:space="preserve">Gesetz über die Prüfung der Wahlen zum Landtag des Landes Nordrhein-Westfalen - Wahlprüfungsgesetz NW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Gesetz tritt am Tage nach der Verkündung in Kraft.</w:t>
      </w:r>
    </w:p>
    <w:p>
      <w:r>
        <w:t xml:space="preserve">Hinweis:</w:t>
      </w:r>
    </w:p>
    <w:p>
      <w:r>
        <w:t xml:space="preserve">(Artikel II des Gesetzes vom 1. Februar 2019 (GV. NRW. S. 114)):</w:t>
      </w:r>
    </w:p>
    <w:p>
      <w:r>
        <w:t xml:space="preserve">Artikel II</w:t>
      </w:r>
    </w:p>
    <w:p>
      <w:r>
        <w:t xml:space="preserve">Inkrafttreten</w:t>
      </w:r>
    </w:p>
    <w:p>
      <w:r>
        <w:t xml:space="preserve">Das Gesetz tritt an dem nächsten auf die Verkündung des Gesetzes folgenden Wahltag für die Wahl zum Landtag des Landes Nordrhein-Westfalen in Kraft.</w:t>
      </w:r>
    </w:p>
    <w:p>
      <w:r>
        <w:t xml:space="preserve">Für einen vom Präsidenten des Landtags eingelegten Einspruch (§ 2 Absatz 1 Satz 2 Wahlprüfungsgesetz NW) sowie für einen Antrag auf Grund des § 1 Absatz 2 Wahlprüfungsgesetz NW, die zwischen Wahltag und Beginn der 18. Wahlperiode eingelegt bzw. gestellt werden und sich auf die 17. Wahlperiode beziehen, gelten die bisherigen Vorschriften fort.</w:t>
      </w:r>
    </w:p>
    <w:p>
      <w:r>
        <w:rPr>
          <w:color w:val="555555"/>
          <w:sz w:val="17"/>
        </w:rPr>
        <w:t xml:space="preserve">Zitiervorschlag: § 14 NW_26516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https://recht.nulegal.eu/gesetze/NW_26516/14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