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9 Abs. 1 Beteiligten können innerhalb eines Monats seit der Zustellung die Entscheidung durch Beschwerde beim Verfassungsgerichtshof anfechten. Die Beschwerde ist innerhalb eines weiteren Monats schriftlich zu begründen. Im Falle des § 7 Abs. 2 Satz 1 beginnt die Beschwerdefrist sechs Monate nach dem Wahltag. Im Falle des § 7 Abs. 2 Satz 2 beginnt die Beschwerdefrist sechs Monate nach der Einlegung des Einspruchs oder nach Antragsstellung.</w:t>
      </w:r>
    </w:p>
    <w:p>
      <w:r>
        <w:t xml:space="preserve">(2) Für die Entscheidung des Verfassungsgerichtshofs gilt § 7 Abs. 1 entsprechend.</w:t>
      </w:r>
    </w:p>
    <w:p>
      <w:r>
        <w:rPr>
          <w:color w:val="555555"/>
          <w:sz w:val="17"/>
        </w:rPr>
        <w:t xml:space="preserve">Zitiervorschlag: § 10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