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NW_26513 (Nordrhein-Westfalen)</w:t>
      </w:r>
    </w:p>
    <w:p>
      <w:r>
        <w:rPr>
          <w:color w:val="555555"/>
          <w:sz w:val="18"/>
        </w:rPr>
        <w:t xml:space="preserve">Verordnung über die Übertragung von Ermächtigungen der Landesregierung zum Erlaß von Rechtsverordnungen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in Bundesgesetzen vorgesehenen Ermächtigungen zum Erlaß von Rechtsverordnungen, die durch § 1 Satz 1 des Gesetzes über Ermächtigungen zum Erlaß von Rechtsverordnungen der Landesregierung erteilt sind, werden auf die obersten Landesbehörden übertragen, die in den bisherigen Vorschriften bezeichnet sind. Die obersten Landesbehörden können die Ermächtigungen auf nachgeordnete Behörden in dem bisher bezeichneten Umfang weiter übertragen.</w:t>
      </w:r>
    </w:p>
    <w:p>
      <w:r>
        <w:rPr>
          <w:color w:val="555555"/>
          <w:sz w:val="17"/>
        </w:rPr>
        <w:t xml:space="preserve">Zitiervorschlag: § 1 NW_26513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