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NW_26512 (Nordrhein-Westfalen)</w:t>
      </w:r>
    </w:p>
    <w:p>
      <w:r>
        <w:rPr>
          <w:color w:val="555555"/>
          <w:sz w:val="18"/>
        </w:rPr>
        <w:t xml:space="preserve">Verordnung über Umzugskostenentschädigung, Tagegelder und Entschädigung für Reisekosten der Mitglieder der Landesregierung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August 1955</w:t>
      </w:r>
    </w:p>
    <w:p>
      <w:r>
        <w:t xml:space="preserve">Auf Grund des § 8 Abs. 3 des Gesetzes über die Rechtsverhältnisse der Mitglieder der Landesregierung Nordrhein-Westfalen (Landesministergesetz) vom 5. Mai 1953 (GV. NW. S. 258)werden folgende Bestimmungen erlassen:</w:t>
      </w:r>
    </w:p>
    <w:p>
      <w:r>
        <w:t xml:space="preserve">I. Umzugskostenentschädigung</w:t>
      </w:r>
    </w:p>
    <w:p>
      <w:r>
        <w:rPr>
          <w:color w:val="555555"/>
          <w:sz w:val="17"/>
        </w:rPr>
        <w:t xml:space="preserve">Zitiervorschlag: Volltext NW_26512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