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NW_26512 (Nordrhein-Westfalen)</w:t>
      </w:r>
    </w:p>
    <w:p>
      <w:r>
        <w:rPr>
          <w:color w:val="555555"/>
          <w:sz w:val="18"/>
        </w:rPr>
        <w:t xml:space="preserve">Verordnung über Umzugskostenentschädigung, Tagegelder und Entschädigung für Reisekosten der Mitglieder der Landesregierung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Landesregierung erhalten für Umzüge, die infolge ihrer Ernennung erforderlich werden, eine Umzugskostenentschädigung, die sich hinsichtlich des Umfangs und der Höhe nach den für die Landesbeamten geltenden Vorschriften richtet; Tagegeld für Reisen aus Anlass eines Umzugs wird nicht gewährt.</w:t>
      </w:r>
    </w:p>
    <w:p>
      <w:r>
        <w:t xml:space="preserve">(2) Für einen Umzug aus Anlaß des Ausscheidens aus dem Amt eines Mitgliedes der Landesregierung gilt Absatz 1 entsprechend, wenn der Umzug spätestens zwei Jahre nach diesem Zeitpunkt durchgeführt wird. Bei einem Umzug in das Ausland wird die Umzugskostenentschädigung nur bis zum Grenzbahnhof oder zum Hafen des Inlandes gewährt.</w:t>
      </w:r>
    </w:p>
    <w:p>
      <w:r>
        <w:t xml:space="preserve">(3) Absatz 2 gilt auch für Hinterbliebene im Sinne des § 1 Abs. 2 des Bundesumzugskostengesetzes.</w:t>
      </w:r>
    </w:p>
    <w:p>
      <w:r>
        <w:rPr>
          <w:color w:val="555555"/>
          <w:sz w:val="17"/>
        </w:rPr>
        <w:t xml:space="preserve">Zitiervorschlag: § 1 NW_26512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