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NW_26511 (Nordrhein-Westfalen) — Unterausschuss</w:t>
      </w:r>
    </w:p>
    <w:p>
      <w:r>
        <w:rPr>
          <w:color w:val="555555"/>
          <w:sz w:val="18"/>
        </w:rPr>
        <w:t xml:space="preserve">Gesetz über die Einsetzung und das Verfahren von Untersuchungsausschüssen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Untersuchungsausschuss kann durch einstimmigen Beschluss eine vorbereitende Untersuchung durch einen Unterausschuss beschließen (vorbereitender Unterausschuss).</w:t>
      </w:r>
    </w:p>
    <w:p>
      <w:r>
        <w:t xml:space="preserve">(2) Der Unterausschuss sammelt und gliedert den Untersuchungsstoff und beschafft das erforderliche Beweismaterial, insbesondere die einschlägigen Akten und Unterlagen.</w:t>
      </w:r>
    </w:p>
    <w:p>
      <w:r>
        <w:t xml:space="preserve">(3) Die Sitzungen des Unterausschusses sind nicht öffentlich. Die Sitzungen sind zu protokollieren.</w:t>
      </w:r>
    </w:p>
    <w:p>
      <w:r>
        <w:rPr>
          <w:color w:val="555555"/>
          <w:sz w:val="17"/>
        </w:rPr>
        <w:t xml:space="preserve">Zitiervorschlag: § 8 NW_26511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https://recht.nulegal.eu/gesetze/NW_26511/8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