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NW_26511 (Nordrhein-Westfalen) — Gegenstand</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Antrag und im Einsetzungsbeschluss muss der Gegenstand der Untersuchung hinreichend bestimmt sein. Die Untersuchung muss geeignet sein, dem Landtag Grundlagen für eine Beschlussfassung im Rahmen seiner verfassungsmäßigen Zuständigkeit zu vermitteln.</w:t>
      </w:r>
    </w:p>
    <w:p>
      <w:r>
        <w:t xml:space="preserve">(2) Der Untersuchungsausschuss ist an den ihm erteilten Auftrag gebunden und zu einer Ausdehnung nicht berechtigt.</w:t>
      </w:r>
    </w:p>
    <w:p>
      <w:r>
        <w:t xml:space="preserve">(3) Der im Einsetzungsantrag und im Einsetzungsbeschluss bezeichnete Untersuchungsgegenstand kann durch Beschluss des Landtags nur mit Zustimmung des Antragstellers verändert werden.</w:t>
      </w:r>
    </w:p>
    <w:p>
      <w:r>
        <w:t xml:space="preserve">(4) Hält der Landtag die mit dem Antrag angestrebte Untersuchung im Ganzen oder in wesentlichen Teilen für verfassungswidrig, so ist der Einsetzungsantrag insgesamt abzulehnen. Sind die von der Mehrheit für verfassungswidrig gehaltenen Teile lediglich von untergeordneter Bedeutung und wird der Einsetzungsantrag durch deren Streichung nicht erheblich geändert, ist die Änderung zulässig. Ob die für verfassungswidrig gehaltenen Teile von wesentlicher Bedeutung sind, ist aus Sicht der Minderheit zu bestimmen.</w:t>
      </w:r>
    </w:p>
    <w:p>
      <w:r>
        <w:t xml:space="preserve">(5) Der Einsetzungsbeschluss soll einen Vorschlag über den im Rahmen eines Untersuchungsverfahrens erforderlichen Umfang der personellen Ausstattung des Ausschusses und der Fraktionen enthalten.</w:t>
      </w:r>
    </w:p>
    <w:p>
      <w:r>
        <w:rPr>
          <w:color w:val="555555"/>
          <w:sz w:val="17"/>
        </w:rPr>
        <w:t xml:space="preserve">Zitiervorschlag: § 3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