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NW_26511 (Nordrhein-Westfalen) — Einsetzung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Untersuchungsausschuss wird für einen bestimmten Untersuchungsauftrag durch Beschluss des Landtags eingesetzt.</w:t>
      </w:r>
    </w:p>
    <w:p>
      <w:r>
        <w:t xml:space="preserve">(2) Der Landtag hat das Recht und auf Antrag von einem Fünftel der gesetzlichen Zahl der Mitglieder die Pflicht, einen Untersuchungsausschuss einzusetzen.</w:t>
      </w:r>
    </w:p>
    <w:p>
      <w:r>
        <w:t xml:space="preserve">(3) Im übrigen gelten für Anträge auf Einsetzung eines Untersuchungsausschusses die Bestimmungen der Geschäftsordnung.</w:t>
      </w:r>
    </w:p>
    <w:p>
      <w:r>
        <w:rPr>
          <w:color w:val="555555"/>
          <w:sz w:val="17"/>
        </w:rPr>
        <w:t xml:space="preserve">Zitiervorschlag: § 2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