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NW_26511 (Nordrhein-Westfalen) — Protokollierung</w:t>
      </w:r>
    </w:p>
    <w:p>
      <w:r>
        <w:rPr>
          <w:color w:val="555555"/>
          <w:sz w:val="18"/>
        </w:rPr>
        <w:t xml:space="preserve">Gesetz über die Einsetzung und das Verfahren von Untersuchungsausschüssen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die Sitzungen des Untersuchungsausschusses ist ein Protokoll aufzunehmen und von dem Vorsitzenden zu unterschreiben.</w:t>
      </w:r>
    </w:p>
    <w:p>
      <w:r>
        <w:t xml:space="preserve">(2) Beweisaufnahmen sind wörtlich zu protokollieren. Über die Art der Protokollierung der Beratungen entscheidet der Untersuchungsausschuss.</w:t>
      </w:r>
    </w:p>
    <w:p>
      <w:r>
        <w:t xml:space="preserve">(3) Bezüglich der Einsicht und der Weitergabe der Protokolle gilt die Archivordnung des Landtags Nordrhein-Westfalen, soweit der Untersuchungsausschuss nicht eine andere Regelung beschließt.</w:t>
      </w:r>
    </w:p>
    <w:p>
      <w:r>
        <w:rPr>
          <w:color w:val="555555"/>
          <w:sz w:val="17"/>
        </w:rPr>
        <w:t xml:space="preserve">Zitiervorschlag: § 12 NW_26511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https://recht.nulegal.eu/gesetze/NW_26511/12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