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NW_26505 (Nordrhein-Westfalen) — Befugnisse des Zweckverbands gegenüber Dritten</w:t>
      </w:r>
    </w:p>
    <w:p>
      <w:r>
        <w:rPr>
          <w:color w:val="555555"/>
          <w:sz w:val="18"/>
        </w:rPr>
        <w:t xml:space="preserve">Bekanntmachung Abkommen zwischen dem Land Nordrhein-Westfalen, dem Land Rheinland-Pfalz, der Wallonischen Region und der Deutschsprachigen Gemeinschaft Belgiens über grenzüberschreitende Zusammenarbeit zwischen Gebietskörperschaften und anderen öffentlichen Stellen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Zweckverband ist nicht berechtigt, Dritten durch Rechtsnorm oder Verwaltungsakt Verpflichtungen aufzuerlegen.</w:t>
      </w:r>
    </w:p>
    <w:p>
      <w:r>
        <w:t xml:space="preserve">(2) Die Mitglieder des Zweckverbands sind ihm gegenüber verpflichtet, im Rahmen ihrer innerstaatlichen Befugnisse die Maßnahmen zu ergreifen, die zur Erfüllung seiner Aufgaben erforderlich sind.</w:t>
      </w:r>
    </w:p>
    <w:p>
      <w:r>
        <w:rPr>
          <w:color w:val="555555"/>
          <w:sz w:val="17"/>
        </w:rPr>
        <w:t xml:space="preserve">Zitiervorschlag: Art 5 NW_26505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https://recht.nulegal.eu/gesetze/NW_26505/5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