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NW_26505 (Nordrhein-Westfalen) — Rechtsweg bei Streitigkeiten zwischenöffentlichen Stellen</w:t>
      </w:r>
    </w:p>
    <w:p>
      <w:r>
        <w:rPr>
          <w:color w:val="555555"/>
          <w:sz w:val="18"/>
        </w:rPr>
        <w:t xml:space="preserve">Bekanntmachung Abkommen zwischen dem Land Nordrhein-Westfalen, dem Land Rheinland-Pfalz, der Wallonischen Region und der Deutschsprachigen Gemeinschaft Belgiens über grenzüberschreitende Zusammenarbeit zwischen Gebietskörperschaften und anderen öffentlichen Stellen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öffentlich-rechtlichen Streitigkeiten zwischen öffentlichen Stellen, Zweckverbänden oder kommunalen Arbeitsgemeinschaften aufgrund der grenzüberschreitenden Zusammenarbeit ist der Rechtsweg nach den Vorschriften des Staates gegeben, in dem der Beklagte seinen Sitz hat.</w:t>
      </w:r>
    </w:p>
    <w:p>
      <w:r>
        <w:t xml:space="preserve">(2) Die innerstaatlichen Regelungen über ein vor Beschreiten des Rechtsweges durchzuführendes Vorverfahren (Schlichtung, ,,conciliation") bleiben unberührt.</w:t>
      </w:r>
    </w:p>
    <w:p>
      <w:r>
        <w:rPr>
          <w:color w:val="555555"/>
          <w:sz w:val="17"/>
        </w:rPr>
        <w:t xml:space="preserve">Zitiervorschlag: Art 11 NW_26505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https://recht.nulegal.eu/gesetze/NW_26505/11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NW_26505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