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NW_26500 (Nordrhein-Westfalen) — Wirksamkeitsvoraussetzungen für Maßnahmen dergrenzüberschreitenden Zusammenarbeit</w:t>
      </w:r>
    </w:p>
    <w:p>
      <w:r>
        <w:rPr>
          <w:color w:val="555555"/>
          <w:sz w:val="18"/>
        </w:rPr>
        <w:t xml:space="preserve">Bekanntmachung des Abkommens zwischen dem Land Nordrhein-Westfalen, dem Land Niedersachsen, der Bundesrepublik Deutschland und dem Königreich der Niederlande über grenzüberschreitende Zusammenarbeit zwischen Gebietskörperschaften und anderen öffentlichen Stellen vom 23. Mai 1991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in Artikel 2 Absatz 2 vorgesehenen Formen der Zusammenarbeit können nur rechtsverbindlich vereinbart und geändert werden, wenn die Vorschriften des innerstaatlichen Rechts der beteiligten öffentlichen Stellen über</w:t>
      </w:r>
    </w:p>
    <w:p>
      <w:r>
        <w:t xml:space="preserve">1. Zuständigkeit und Beschlußfassung der Organe der öffentlichen Stellen,</w:t>
      </w:r>
    </w:p>
    <w:p>
      <w:r>
        <w:t xml:space="preserve">2. Formerfordernisse,</w:t>
      </w:r>
    </w:p>
    <w:p>
      <w:r>
        <w:t xml:space="preserve">3. Genehmigungen und</w:t>
      </w:r>
    </w:p>
    <w:p>
      <w:r>
        <w:t xml:space="preserve">4. Bekanntmachungen</w:t>
      </w:r>
    </w:p>
    <w:p>
      <w:r>
        <w:t xml:space="preserve">eingehalten worden sind.</w:t>
      </w:r>
    </w:p>
    <w:p>
      <w:r>
        <w:t xml:space="preserve">(2) Öffentliche Stellen im Sinne von Artikel 1 haben die öffentlichen Stellen, die in anderen Vertragsstaaten gelegen sind, auf die Erfordernisse des Absatzes 1 hinzuweisen.</w:t>
      </w:r>
    </w:p>
    <w:p>
      <w:r>
        <w:rPr>
          <w:color w:val="555555"/>
          <w:sz w:val="17"/>
        </w:rPr>
        <w:t xml:space="preserve">Zitiervorschlag: Art 8 NW_26500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https://recht.nulegal.eu/gesetze/NW_26500/8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