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NW_26491 (Nordrhein-Westfalen) — Zuständigkeitennach der Straßenverkehrsordnung</w:t>
      </w:r>
    </w:p>
    <w:p>
      <w:r>
        <w:rPr>
          <w:color w:val="555555"/>
          <w:sz w:val="18"/>
        </w:rPr>
        <w:t xml:space="preserve">Bekanntmachung des Staatsvertrages zwischen den Ländern Niedersachsen und Nordrhein-Westfalen über Aufgaben und Zuständigkeiten auf Bundesautobahnstrecken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Niedersachsen und Nordrhein-Westfalen übertragen und übernehmen gegenseitig die sich aus der Straßenverkehrsordnung in der jeweils geltenden Fassung ergebenden Aufgaben und Befugnisse auf den in § 1 Abs. 2 genannten Bundesautobahnstrecken zur Ausübung.</w:t>
      </w:r>
    </w:p>
    <w:p>
      <w:r>
        <w:t xml:space="preserve">(2) Niedersachsen und Nordrhein-Westfalen werden im Interesse einer einheitlichen Verkehrsführung und -lenkung bei verkehrsbehördlichen Anordnungen auf den in § 1 Abs. 2 genannten Bundesautobahnstrecken eine Verkehrsbeschilderung berücksichtigen, die mit der Ausschilderung der Bundesautobahn in den jeweiligen Ländern übereinstimmt.</w:t>
      </w:r>
    </w:p>
    <w:p>
      <w:r>
        <w:rPr>
          <w:color w:val="555555"/>
          <w:sz w:val="17"/>
        </w:rPr>
        <w:t xml:space="preserve">Zitiervorschlag: § 2 NW_26491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https://recht.nulegal.eu/gesetze/NW_26491/2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