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NW_26487 (Nordrhein-Westfalen)</w:t>
      </w:r>
    </w:p>
    <w:p>
      <w:r>
        <w:rPr>
          <w:color w:val="555555"/>
          <w:sz w:val="18"/>
        </w:rPr>
        <w:t xml:space="preserve">Gesetz über die Vereinigung des Landes Lippe mit dem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5. November 1948.</w:t>
      </w:r>
    </w:p>
    <w:p>
      <w:r>
        <w:t xml:space="preserve">Präambel.</w:t>
      </w:r>
    </w:p>
    <w:p>
      <w:r>
        <w:t xml:space="preserve">Zum Zwecke der Vermögensauseinandersetzung zwischen dem Lande Nordrhein-Westfalen und dem früheren Lande Lippe hat der Landtag im Sinne der Vereinbarungen, die zwischen den Landesregierungen von Nordrhein-Westfalen und von Lippe getroffen worden sind, das folgende Gesetz beschlossen:</w:t>
      </w:r>
    </w:p>
    <w:p>
      <w:r>
        <w:rPr>
          <w:color w:val="555555"/>
          <w:sz w:val="17"/>
        </w:rPr>
        <w:t xml:space="preserve">Zitiervorschlag: Volltext NW_26487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https://recht.nulegal.eu/gesetze/NW_26487/volltext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