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NW_26487 (Nordrhein-Westfalen)</w:t>
      </w:r>
    </w:p>
    <w:p>
      <w:r>
        <w:rPr>
          <w:color w:val="555555"/>
          <w:sz w:val="18"/>
        </w:rPr>
        <w:t xml:space="preserve">Gesetz über die Vereinigung des Landes Lippe mit dem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Landesverband übernimmt die bisher dem Forstgemeindezweckverband für Lippe obliegende Verwaltung der in Lippe gelegenen Gemeindeforsten nach den bisherigen Grundsätzen.</w:t>
      </w:r>
    </w:p>
    <w:p>
      <w:r>
        <w:rPr>
          <w:color w:val="555555"/>
          <w:sz w:val="17"/>
        </w:rPr>
        <w:t xml:space="preserve">Zitiervorschlag: § 7 NW_26487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