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NW_26487 (Nordrhein-Westfalen)</w:t>
      </w:r>
    </w:p>
    <w:p>
      <w:r>
        <w:rPr>
          <w:color w:val="555555"/>
          <w:sz w:val="18"/>
        </w:rPr>
        <w:t xml:space="preserve">Gesetz über die Vereinigung des Landes Lippe mit dem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 Detmold und Lemgo werden als Kreise des Landes Nordrhein-Westfalen übernommen und dem Regierungsbezirk Detmold eingegliedert.</w:t>
      </w:r>
    </w:p>
    <w:p>
      <w:r>
        <w:t xml:space="preserve">Die Gemeinden Lipperode und Cappel bei Lippstadt werden bis zum 1. April 1949 aus dem Kreise Detmold ausgegliedert und dem Kreis Lippstadt als amtsfreie Gemeinden zugelegt.</w:t>
      </w:r>
    </w:p>
    <w:p>
      <w:r>
        <w:rPr>
          <w:color w:val="555555"/>
          <w:sz w:val="17"/>
        </w:rPr>
        <w:t xml:space="preserve">Zitiervorschlag: § 3 NW_26487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