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NW_26487 (Nordrhein-Westfalen)</w:t>
      </w:r>
    </w:p>
    <w:p>
      <w:r>
        <w:rPr>
          <w:color w:val="555555"/>
          <w:sz w:val="18"/>
        </w:rPr>
        <w:t xml:space="preserve">Gesetz über die Vereinigung des Landes Lippe mit dem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im Gebiet des ehemaligen Landes Lippe geltenden Gesetze, Verordnungen und Verwaltungsvorschriften bleiben bis auf weiteres in Kraft. Der Innenminister des Landes Nordrhein-Westfalen wird ermächtigt, das Lippische Recht im Verordnungswege an das in Nordrhein-Westfalen geltende Recht nach Anhörung der Kreistage Detmold und Lemgo anzugleichen.</w:t>
      </w:r>
    </w:p>
    <w:p>
      <w:r>
        <w:rPr>
          <w:color w:val="555555"/>
          <w:sz w:val="17"/>
        </w:rPr>
        <w:t xml:space="preserve">Zitiervorschlag: § 11 NW_26487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