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am 18. Juni 1950 gewählte Landtag gilt als erster Landtag im Sinne dieser Verfassung.</w:t>
      </w:r>
    </w:p>
    <w:p>
      <w:r>
        <w:t xml:space="preserve">(2) Die bestehenden Organe des Landes nehmen bis zur Bildung der durch diese Verfassung vorgesehenen Organe deren Aufgaben wahr. Eine nach den Bestimmungen dieser Verfassung bereits vor ihrem Inkrafttreten gebildete Landesregierung gilt als Landesregierung im Sinne der Artikel 51 ff.</w:t>
      </w:r>
    </w:p>
    <w:p>
      <w:r>
        <w:rPr>
          <w:color w:val="555555"/>
          <w:sz w:val="17"/>
        </w:rPr>
        <w:t xml:space="preserve">Zitiervorschlag: Art 91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