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Verfassung ist dem Volke zur Billigung zu unterbreiten. Die Abstimmung erfolgt nach Maßgabe eines Landtagsbeschlusses. Die Verfassung gilt als angenommen, wenn die Mehrheit der Abstimmenden sie bejaht hat.</w:t>
      </w:r>
    </w:p>
    <w:p>
      <w:r>
        <w:t xml:space="preserve">(2) Die Verfassung ist nach ihrer Annahme durch das Volk im Gesetz- und Verordnungsblatt zu verkünden. Sie tritt mit dem auf ihre Verkündung folgenden Tage in Kraft.</w:t>
      </w:r>
    </w:p>
    <w:p>
      <w:r>
        <w:rPr>
          <w:color w:val="555555"/>
          <w:sz w:val="17"/>
        </w:rPr>
        <w:t xml:space="preserve">Zitiervorschlag: Art 90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https://recht.nulegal.eu/gesetze/NW_26486/90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